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567" w:right="-466" w:hanging="0"/>
        <w:jc w:val="center"/>
        <w:rPr>
          <w:b/>
          <w:b/>
          <w:bCs/>
        </w:rPr>
      </w:pPr>
      <w:r>
        <w:rPr>
          <w:b/>
          <w:bCs/>
        </w:rPr>
        <w:t>Pour aller de la construction du nombre à celle de la numération : points à travailler en continuité GS/CP </w:t>
      </w:r>
    </w:p>
    <w:p>
      <w:pPr>
        <w:pStyle w:val="Normal"/>
        <w:jc w:val="both"/>
        <w:rPr>
          <w:b/>
          <w:b/>
          <w:bCs/>
          <w:sz w:val="13"/>
          <w:szCs w:val="13"/>
        </w:rPr>
      </w:pPr>
      <w:r>
        <w:rPr>
          <w:b/>
          <w:bCs/>
          <w:sz w:val="13"/>
          <w:szCs w:val="13"/>
        </w:rPr>
      </w:r>
    </w:p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5791200" cy="3619500"/>
            <wp:effectExtent l="0" t="0" r="0" b="0"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>
          <w:rFonts w:eastAsia="Wingdings" w:cs="Wingdings" w:ascii="Wingdings" w:hAnsi="Wingdings"/>
        </w:rPr>
        <w:t></w:t>
      </w:r>
      <w:r>
        <w:rPr>
          <w:b/>
          <w:bCs/>
        </w:rPr>
        <w:t xml:space="preserve"> </w:t>
      </w:r>
      <w:r>
        <w:rPr>
          <w:b/>
          <w:bCs/>
        </w:rPr>
        <w:t>Faire l’inventaire du matériel pédagogique utilisé (élèves et enseignants) et décider d’en harmoniser certains :</w:t>
        <w:br/>
        <w:tab/>
      </w:r>
      <w:r>
        <w:rPr/>
        <w:t>- matériel de manipulation pour les GS, pour les CP </w:t>
      </w:r>
    </w:p>
    <w:p>
      <w:pPr>
        <w:pStyle w:val="Normal"/>
        <w:ind w:firstLine="708"/>
        <w:jc w:val="both"/>
        <w:rPr/>
      </w:pPr>
      <w:r>
        <w:rPr/>
        <w:t>- file(s) numérique(s) ; étiquettes nombres</w:t>
      </w:r>
    </w:p>
    <w:p>
      <w:pPr>
        <w:pStyle w:val="Normal"/>
        <w:ind w:firstLine="708"/>
        <w:jc w:val="both"/>
        <w:rPr/>
      </w:pPr>
      <w:r>
        <w:rPr/>
        <w:t>- calligraphie des nombres : modèles communs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rFonts w:eastAsia="Wingdings" w:cs="Wingdings" w:ascii="Wingdings" w:hAnsi="Wingdings"/>
          <w:b/>
          <w:bCs/>
        </w:rPr>
        <w:t></w:t>
      </w:r>
      <w:r>
        <w:rPr>
          <w:b/>
          <w:bCs/>
        </w:rPr>
        <w:t xml:space="preserve"> </w:t>
      </w:r>
      <w:r>
        <w:rPr>
          <w:b/>
          <w:bCs/>
        </w:rPr>
        <w:t xml:space="preserve">Échanger sur l’utilisation des fiches et des fichiers élève, suite au temps 1 de formation </w:t>
      </w:r>
      <w:r>
        <w:rPr/>
        <w:t xml:space="preserve">(les limites de ces supports)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rFonts w:eastAsia="Wingdings" w:cs="Wingdings" w:ascii="Wingdings" w:hAnsi="Wingdings"/>
          <w:b/>
          <w:bCs/>
        </w:rPr>
        <w:t></w:t>
      </w:r>
      <w:r>
        <w:rPr>
          <w:b/>
          <w:bCs/>
        </w:rPr>
        <w:t xml:space="preserve"> </w:t>
      </w:r>
      <w:r>
        <w:rPr>
          <w:b/>
          <w:bCs/>
        </w:rPr>
        <w:t xml:space="preserve">Relier la progression </w:t>
      </w:r>
      <w:r>
        <w:rPr/>
        <w:t xml:space="preserve">(l’itinéraire, les points d’étapes des notions à enseigner) </w:t>
      </w:r>
      <w:r>
        <w:rPr>
          <w:b/>
          <w:bCs/>
        </w:rPr>
        <w:t>de la maternelle dans la construction du nombre à celle de la numération au CP 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  <w:t>Document :</w:t>
      </w:r>
    </w:p>
    <w:p>
      <w:pPr>
        <w:pStyle w:val="Normal"/>
        <w:jc w:val="both"/>
        <w:rPr>
          <w:b/>
          <w:b/>
          <w:bCs/>
          <w:i/>
          <w:i/>
        </w:rPr>
      </w:pPr>
      <w:r>
        <w:rPr>
          <w:b/>
          <w:bCs/>
          <w:i/>
          <w:color w:val="0070C0"/>
        </w:rPr>
        <w:t>Repères annuels de progression CP</w:t>
      </w:r>
      <w:r>
        <w:rPr>
          <w:b/>
          <w:bCs/>
          <w:i/>
        </w:rPr>
        <w:t xml:space="preserve"> « Nombres et calculs » et « Résolution de problèmes »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À partir des repères annuels de progression CP, relier ce qui est repris de la GS vers le CP.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À partir du carnet de suivi d’un GS en fin d’année sur l’acquisition du nombre, objectiver le chemin qu’il reste à parcourir en numération pour le futur élève de l’école élémentaire.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asciiTheme="minorHAnsi" w:cstheme="minorBidi" w:eastAsiaTheme="minorHAnsi" w:hAnsiTheme="minorHAnsi"/>
          <w:highlight w:val="yellow"/>
        </w:rPr>
      </w:pPr>
      <w:r>
        <w:rPr>
          <w:rFonts w:eastAsia="Wingdings" w:cs="Wingdings" w:ascii="Wingdings" w:hAnsi="Wingdings"/>
          <w:b/>
          <w:bCs/>
          <w:highlight w:val="yellow"/>
        </w:rPr>
        <w:t></w:t>
      </w:r>
      <w:r>
        <w:rPr>
          <w:rFonts w:asciiTheme="minorHAnsi" w:cstheme="minorBidi" w:eastAsiaTheme="minorHAnsi" w:hAnsiTheme="minorHAnsi"/>
          <w:b/>
          <w:bCs/>
          <w:highlight w:val="yellow"/>
        </w:rPr>
        <w:t xml:space="preserve"> </w:t>
      </w:r>
      <w:r>
        <w:rPr>
          <w:rFonts w:asciiTheme="minorHAnsi" w:cstheme="minorBidi" w:eastAsiaTheme="minorHAnsi" w:hAnsiTheme="minorHAnsi"/>
          <w:b/>
          <w:bCs/>
          <w:highlight w:val="yellow"/>
        </w:rPr>
        <w:t xml:space="preserve">Programmation </w:t>
      </w:r>
      <w:r>
        <w:rPr>
          <w:rFonts w:asciiTheme="minorHAnsi" w:cstheme="minorBidi" w:eastAsiaTheme="minorHAnsi" w:hAnsiTheme="minorHAnsi"/>
          <w:highlight w:val="yellow"/>
        </w:rPr>
        <w:t xml:space="preserve">(la distribution chronologique des situations d’apprentissage proposées) </w:t>
      </w:r>
      <w:r>
        <w:rPr>
          <w:rFonts w:asciiTheme="minorHAnsi" w:cstheme="minorBidi" w:eastAsiaTheme="minorHAnsi" w:hAnsiTheme="minorHAnsi"/>
          <w:b/>
          <w:bCs/>
          <w:highlight w:val="yellow"/>
        </w:rPr>
        <w:t>de la GS au CP</w:t>
      </w:r>
      <w:r>
        <w:rPr>
          <w:rFonts w:asciiTheme="minorHAnsi" w:cstheme="minorBidi" w:eastAsiaTheme="minorHAnsi" w:hAnsiTheme="minorHAnsi"/>
          <w:highlight w:val="yellow"/>
        </w:rPr>
        <w:t>.</w:t>
      </w:r>
    </w:p>
    <w:p>
      <w:pPr>
        <w:pStyle w:val="Normal"/>
        <w:jc w:val="both"/>
        <w:rPr/>
      </w:pPr>
      <w:r>
        <w:rPr>
          <w:b/>
          <w:u w:val="single"/>
        </w:rPr>
        <w:t>D</w:t>
      </w:r>
      <w:r>
        <w:rPr>
          <w:b/>
          <w:bCs/>
          <w:u w:val="single"/>
        </w:rPr>
        <w:t xml:space="preserve">ocuments : </w:t>
      </w:r>
      <w:r>
        <w:rPr>
          <w:b/>
          <w:bCs/>
          <w:i/>
          <w:color w:val="0070C0"/>
        </w:rPr>
        <w:t xml:space="preserve">Descriptifs d’activités GS-CP (4 documents) </w:t>
      </w:r>
      <w:r>
        <w:rPr>
          <w:b/>
          <w:bCs/>
          <w:i/>
          <w:color w:val="0070C0"/>
        </w:rPr>
        <w:t xml:space="preserve">+ </w:t>
      </w:r>
      <w:r>
        <w:rPr>
          <w:b/>
          <w:bCs/>
          <w:i/>
          <w:color w:val="0070C0"/>
        </w:rPr>
        <w:t>Tableau pour la programmation-progression de ces activités GS-CP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left"/>
        <w:rPr/>
      </w:pPr>
      <w:r>
        <w:rPr>
          <w:rFonts w:eastAsia="Wingdings" w:cs="Wingdings" w:ascii="Wingdings" w:hAnsi="Wingdings"/>
          <w:b/>
          <w:bCs/>
        </w:rPr>
        <w:t></w:t>
      </w:r>
      <w:r>
        <w:rPr/>
        <w:t xml:space="preserve"> </w:t>
      </w:r>
      <w:r>
        <w:rPr/>
        <w:t xml:space="preserve">S’informer mutuellement des résultats des </w:t>
      </w:r>
      <w:r>
        <w:rPr>
          <w:b/>
          <w:bCs/>
        </w:rPr>
        <w:t>évaluations nationales</w:t>
      </w:r>
      <w:r>
        <w:rPr/>
        <w:t>.</w:t>
        <w:br/>
      </w:r>
    </w:p>
    <w:sectPr>
      <w:headerReference w:type="default" r:id="rId3"/>
      <w:type w:val="nextPage"/>
      <w:pgSz w:w="11906" w:h="16838"/>
      <w:pgMar w:left="1080" w:right="1080" w:header="708" w:top="1440" w:footer="0" w:bottom="83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  <w:bCs/>
        <w:sz w:val="28"/>
        <w:szCs w:val="28"/>
      </w:rPr>
    </w:pPr>
    <w:r>
      <w:drawing>
        <wp:anchor behindDoc="1" distT="0" distB="1905" distL="114300" distR="114300" simplePos="0" locked="0" layoutInCell="1" allowOverlap="1" relativeHeight="2">
          <wp:simplePos x="0" y="0"/>
          <wp:positionH relativeFrom="margin">
            <wp:posOffset>-337820</wp:posOffset>
          </wp:positionH>
          <wp:positionV relativeFrom="margin">
            <wp:posOffset>-753110</wp:posOffset>
          </wp:positionV>
          <wp:extent cx="701675" cy="823595"/>
          <wp:effectExtent l="0" t="0" r="0" b="0"/>
          <wp:wrapSquare wrapText="bothSides"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5213350</wp:posOffset>
          </wp:positionH>
          <wp:positionV relativeFrom="margin">
            <wp:posOffset>-674370</wp:posOffset>
          </wp:positionV>
          <wp:extent cx="1358900" cy="304800"/>
          <wp:effectExtent l="0" t="0" r="0" b="0"/>
          <wp:wrapSquare wrapText="bothSides"/>
          <wp:docPr id="3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4">
          <wp:simplePos x="0" y="0"/>
          <wp:positionH relativeFrom="margin">
            <wp:posOffset>4714875</wp:posOffset>
          </wp:positionH>
          <wp:positionV relativeFrom="margin">
            <wp:posOffset>-831850</wp:posOffset>
          </wp:positionV>
          <wp:extent cx="596265" cy="601980"/>
          <wp:effectExtent l="0" t="0" r="0" b="0"/>
          <wp:wrapSquare wrapText="bothSides"/>
          <wp:docPr id="4" name="Image 6" descr="Logo PM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6" descr="Logo PM3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T</w:t>
    </w:r>
    <w:r>
      <w:rPr>
        <w:b/>
        <w:bCs/>
        <w:sz w:val="28"/>
        <w:szCs w:val="28"/>
      </w:rPr>
      <w:t xml:space="preserve">emps 2 : Feuille de route - Continuité GS-CP </w:t>
    </w:r>
  </w:p>
  <w:p>
    <w:pPr>
      <w:pStyle w:val="Normal"/>
      <w:jc w:val="center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Numération – parcours formation 2019-2020, Haute-Garonne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2b0512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2b0512"/>
    <w:rPr/>
  </w:style>
  <w:style w:type="character" w:styleId="LienInternet">
    <w:name w:val="Lien Internet"/>
    <w:basedOn w:val="DefaultParagraphFont"/>
    <w:uiPriority w:val="99"/>
    <w:unhideWhenUsed/>
    <w:rsid w:val="00d25dcf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qFormat/>
    <w:rsid w:val="00d25dcf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25dcf"/>
    <w:rPr>
      <w:color w:val="954F72" w:themeColor="followedHyperlink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Calibri" w:cs="Calibri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eastAsia="Calibri" w:cs="Calibri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eastAsia="Calibri" w:cs="Calibri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alibri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e18ee"/>
    <w:pPr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b0512"/>
    <w:pPr>
      <w:spacing w:before="0" w:after="0"/>
      <w:ind w:left="720" w:hanging="0"/>
      <w:contextualSpacing/>
    </w:pPr>
    <w:rPr/>
  </w:style>
  <w:style w:type="paragraph" w:styleId="Entte">
    <w:name w:val="Header"/>
    <w:basedOn w:val="Normal"/>
    <w:link w:val="En-tteCar"/>
    <w:uiPriority w:val="99"/>
    <w:unhideWhenUsed/>
    <w:rsid w:val="002b0512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2b0512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LibreOffice/5.2.2.2$Windows_x86 LibreOffice_project/8f96e87c890bf8fa77463cd4b640a2312823f3ad</Application>
  <Pages>1</Pages>
  <Words>228</Words>
  <Characters>1199</Characters>
  <CharactersWithSpaces>1418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2019-10-09T13:53:00Z</dcterms:created>
  <dc:creator>Sylvaine Mailho</dc:creator>
  <dc:description/>
  <dc:language>fr-FR</dc:language>
  <cp:lastModifiedBy>Florence JEAN</cp:lastModifiedBy>
  <cp:lastPrinted>2019-09-25T07:30:00Z</cp:lastPrinted>
  <dcterms:modified xsi:type="dcterms:W3CDTF">2020-01-20T15:37:21Z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