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20" w:rsidRDefault="003D6150">
      <w:bookmarkStart w:id="0" w:name="_GoBack"/>
      <w:bookmarkEnd w:id="0"/>
      <w:r>
        <w:t>Grille d’analyse d’un</w:t>
      </w:r>
      <w:r w:rsidR="00FC65EF">
        <w:t>e</w:t>
      </w:r>
      <w:r>
        <w:t xml:space="preserve"> </w:t>
      </w:r>
      <w:r w:rsidR="009266F8">
        <w:t>méthode</w:t>
      </w:r>
      <w:r w:rsidR="00C372E8">
        <w:t>*</w:t>
      </w:r>
      <w:r>
        <w:t xml:space="preserve"> de lecture </w:t>
      </w:r>
    </w:p>
    <w:p w:rsidR="00FC65EF" w:rsidRDefault="00C372E8" w:rsidP="00C372E8">
      <w:pPr>
        <w:pStyle w:val="Paragraphedeliste"/>
        <w:ind w:left="1374"/>
        <w:jc w:val="both"/>
      </w:pPr>
      <w:r>
        <w:t>*e</w:t>
      </w:r>
      <w:r w:rsidR="00FC65EF">
        <w:t>nsemble des activités proposées aux élèves (manuels, fichiers, albums, …)</w:t>
      </w:r>
    </w:p>
    <w:tbl>
      <w:tblPr>
        <w:tblStyle w:val="TableGrid"/>
        <w:tblW w:w="10348" w:type="dxa"/>
        <w:tblInd w:w="0" w:type="dxa"/>
        <w:tblCellMar>
          <w:top w:w="12" w:type="dxa"/>
          <w:left w:w="14" w:type="dxa"/>
          <w:right w:w="73" w:type="dxa"/>
        </w:tblCellMar>
        <w:tblLook w:val="04A0" w:firstRow="1" w:lastRow="0" w:firstColumn="1" w:lastColumn="0" w:noHBand="0" w:noVBand="1"/>
      </w:tblPr>
      <w:tblGrid>
        <w:gridCol w:w="7513"/>
        <w:gridCol w:w="2835"/>
      </w:tblGrid>
      <w:tr w:rsidR="009266F8" w:rsidTr="00FC65EF">
        <w:trPr>
          <w:trHeight w:val="40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90B5C5"/>
          </w:tcPr>
          <w:p w:rsidR="009266F8" w:rsidRDefault="009266F8" w:rsidP="009266F8">
            <w:pPr>
              <w:tabs>
                <w:tab w:val="center" w:pos="5981"/>
                <w:tab w:val="center" w:pos="6579"/>
                <w:tab w:val="center" w:pos="7162"/>
                <w:tab w:val="center" w:pos="7758"/>
              </w:tabs>
              <w:ind w:left="0"/>
              <w:jc w:val="left"/>
            </w:pP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36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90B5C5"/>
          </w:tcPr>
          <w:p w:rsidR="009266F8" w:rsidRDefault="009266F8">
            <w:pPr>
              <w:tabs>
                <w:tab w:val="center" w:pos="5981"/>
                <w:tab w:val="center" w:pos="6579"/>
                <w:tab w:val="center" w:pos="7162"/>
                <w:tab w:val="center" w:pos="7758"/>
              </w:tabs>
              <w:ind w:left="0"/>
              <w:jc w:val="left"/>
            </w:pPr>
          </w:p>
        </w:tc>
      </w:tr>
      <w:tr w:rsidR="009266F8" w:rsidTr="00FC65EF">
        <w:trPr>
          <w:trHeight w:val="1393"/>
        </w:trPr>
        <w:tc>
          <w:tcPr>
            <w:tcW w:w="7513" w:type="dxa"/>
            <w:tcBorders>
              <w:top w:val="nil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FC65EF">
            <w:pPr>
              <w:spacing w:line="272" w:lineRule="auto"/>
              <w:ind w:left="89" w:right="146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La</w:t>
            </w:r>
            <w:r w:rsidR="009266F8">
              <w:rPr>
                <w:rFonts w:ascii="Trebuchet MS" w:eastAsia="Trebuchet MS" w:hAnsi="Trebuchet MS" w:cs="Trebuchet MS"/>
                <w:sz w:val="18"/>
              </w:rPr>
              <w:t xml:space="preserve"> méthode propose les correspond</w:t>
            </w:r>
            <w:r>
              <w:rPr>
                <w:rFonts w:ascii="Trebuchet MS" w:eastAsia="Trebuchet MS" w:hAnsi="Trebuchet MS" w:cs="Trebuchet MS"/>
                <w:sz w:val="18"/>
              </w:rPr>
              <w:t xml:space="preserve">ances graphèmes-phonèmes (CGP) </w:t>
            </w:r>
            <w:r w:rsidR="009266F8">
              <w:rPr>
                <w:rFonts w:ascii="Trebuchet MS" w:eastAsia="Trebuchet MS" w:hAnsi="Trebuchet MS" w:cs="Trebuchet MS"/>
                <w:sz w:val="18"/>
              </w:rPr>
              <w:t xml:space="preserve">les plus régulières et les plus fréquentes </w:t>
            </w:r>
            <w:r w:rsidR="009266F8"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  <w:r w:rsidR="009266F8"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graphèmes-phonèmes voyelles composés d’un graphème avec une seule  </w:t>
            </w:r>
            <w:r w:rsidR="009266F8"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  <w:r w:rsidR="009266F8"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lettre [a], [i]… graphèmes-phonèmes consonnes dont on peut faire durer la prononciation  </w:t>
            </w:r>
            <w:r w:rsidR="009266F8"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  <w:p w:rsidR="009266F8" w:rsidRDefault="009266F8">
            <w:pPr>
              <w:ind w:left="89"/>
              <w:jc w:val="left"/>
            </w:pP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>[r], [l], [v]</w:t>
            </w:r>
            <w:r>
              <w:rPr>
                <w:rFonts w:ascii="Verdana" w:eastAsia="Verdana" w:hAnsi="Verdana" w:cs="Verdana"/>
                <w:b w:val="0"/>
                <w:sz w:val="1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  <w:vAlign w:val="bottom"/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1B3EAF">
        <w:trPr>
          <w:trHeight w:val="1110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FC65EF" w:rsidRDefault="009266F8">
            <w:pPr>
              <w:ind w:left="89" w:right="104"/>
              <w:jc w:val="both"/>
              <w:rPr>
                <w:rFonts w:ascii="Verdana" w:eastAsia="Verdana" w:hAnsi="Verdana" w:cs="Verdana"/>
                <w:b w:val="0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Le rythme des CGP étudiées est suffisamment soutenu les premières  semaines </w:t>
            </w:r>
            <w:r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</w:p>
          <w:p w:rsidR="009266F8" w:rsidRDefault="009266F8">
            <w:pPr>
              <w:ind w:left="89" w:right="104"/>
              <w:jc w:val="both"/>
            </w:pP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un tempo de 14 ou 15 CGP étudiées pendant les neuf premières  semaines. 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  <w:vAlign w:val="bottom"/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FC65EF">
        <w:trPr>
          <w:trHeight w:val="1393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FC65EF" w:rsidRPr="00FC65EF" w:rsidRDefault="00FC65EF" w:rsidP="00FC65EF">
            <w:pPr>
              <w:spacing w:after="86" w:line="243" w:lineRule="auto"/>
              <w:ind w:left="89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La</w:t>
            </w:r>
            <w:r w:rsidR="009266F8">
              <w:rPr>
                <w:rFonts w:ascii="Trebuchet MS" w:eastAsia="Trebuchet MS" w:hAnsi="Trebuchet MS" w:cs="Trebuchet MS"/>
                <w:sz w:val="18"/>
              </w:rPr>
              <w:t xml:space="preserve"> méthode contient de nombreuses activités de décodage et  d’identification des mots permettant à l’élève de s’entraîner et  d’automatiser le code </w:t>
            </w:r>
            <w:proofErr w:type="spellStart"/>
            <w:r w:rsidR="009266F8">
              <w:rPr>
                <w:rFonts w:ascii="Trebuchet MS" w:eastAsia="Trebuchet MS" w:hAnsi="Trebuchet MS" w:cs="Trebuchet MS"/>
                <w:sz w:val="18"/>
              </w:rPr>
              <w:t>grapho-phonologique</w:t>
            </w:r>
            <w:proofErr w:type="spellEnd"/>
            <w:r w:rsidR="009266F8">
              <w:rPr>
                <w:rFonts w:ascii="Trebuchet MS" w:eastAsia="Trebuchet MS" w:hAnsi="Trebuchet MS" w:cs="Trebuchet MS"/>
                <w:sz w:val="18"/>
              </w:rPr>
              <w:t xml:space="preserve"> et la combinatoire </w:t>
            </w:r>
            <w:r w:rsidR="009266F8"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</w:p>
          <w:p w:rsidR="009266F8" w:rsidRDefault="009266F8" w:rsidP="00FC65EF">
            <w:pPr>
              <w:tabs>
                <w:tab w:val="center" w:pos="5370"/>
              </w:tabs>
              <w:spacing w:after="16"/>
              <w:ind w:left="128"/>
              <w:jc w:val="left"/>
            </w:pP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des  activités de type </w:t>
            </w:r>
            <w:r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>formation de syllabe</w:t>
            </w: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ab/>
            </w: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  <w:p w:rsidR="009266F8" w:rsidRDefault="009266F8" w:rsidP="00FC65EF">
            <w:pPr>
              <w:ind w:left="128"/>
              <w:jc w:val="left"/>
            </w:pP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>(s -&gt; a =&gt; sa), lecture de syllabes, de mots, de nouveaux mots…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  <w:vAlign w:val="bottom"/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1B3EAF">
        <w:trPr>
          <w:trHeight w:val="1259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FC65EF">
            <w:pPr>
              <w:ind w:left="89" w:right="195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La</w:t>
            </w:r>
            <w:r w:rsidR="009266F8">
              <w:rPr>
                <w:rFonts w:ascii="Trebuchet MS" w:eastAsia="Trebuchet MS" w:hAnsi="Trebuchet MS" w:cs="Trebuchet MS"/>
                <w:sz w:val="18"/>
              </w:rPr>
              <w:t xml:space="preserve"> méthode propose des structures syllabiques de plus en plus  complexes </w:t>
            </w:r>
            <w:r w:rsidR="009266F8"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  <w:r w:rsidR="009266F8"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d’abord, une composition de la syllabe consonne-voyelle (CV),  </w:t>
            </w:r>
            <w:r w:rsidR="009266F8"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  <w:r w:rsidR="009266F8">
              <w:rPr>
                <w:rFonts w:ascii="Trebuchet MS" w:eastAsia="Trebuchet MS" w:hAnsi="Trebuchet MS" w:cs="Trebuchet MS"/>
                <w:b w:val="0"/>
                <w:i/>
                <w:sz w:val="18"/>
              </w:rPr>
              <w:t>puis VC, CVC ensuite et enfin CCV.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  <w:vAlign w:val="bottom"/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1B3EAF">
        <w:trPr>
          <w:trHeight w:val="1249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ind w:left="89" w:right="361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Le méthode contient des textes déchiffrables, reprenant les CGP  étudiées </w:t>
            </w:r>
            <w:r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la plateforme </w:t>
            </w:r>
            <w:proofErr w:type="spellStart"/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>Anagraph</w:t>
            </w:r>
            <w:proofErr w:type="spellEnd"/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, issue de la recherche </w:t>
            </w:r>
            <w:r>
              <w:rPr>
                <w:rFonts w:ascii="Verdana" w:eastAsia="Verdana" w:hAnsi="Verdana" w:cs="Verdana"/>
                <w:b w:val="0"/>
                <w:sz w:val="18"/>
              </w:rPr>
              <w:t xml:space="preserve">« </w:t>
            </w: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Lire écrire </w:t>
            </w:r>
            <w:r>
              <w:rPr>
                <w:rFonts w:ascii="Verdana" w:eastAsia="Verdana" w:hAnsi="Verdana" w:cs="Verdana"/>
                <w:b w:val="0"/>
                <w:sz w:val="18"/>
              </w:rPr>
              <w:t xml:space="preserve">»  </w:t>
            </w: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 xml:space="preserve">offre aux professeurs la possibilité de calculer la part directement  déchiffrable par les élèves des textes qu’ils utilisent comme supports  </w:t>
            </w: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i/>
                <w:sz w:val="18"/>
              </w:rPr>
              <w:t>d’apprentissage de la lecture.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  <w:vAlign w:val="bottom"/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1B3EAF">
        <w:trPr>
          <w:trHeight w:val="1125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FC65EF">
            <w:pPr>
              <w:ind w:left="89" w:right="172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La</w:t>
            </w:r>
            <w:r w:rsidR="009266F8">
              <w:rPr>
                <w:rFonts w:ascii="Trebuchet MS" w:eastAsia="Trebuchet MS" w:hAnsi="Trebuchet MS" w:cs="Trebuchet MS"/>
                <w:sz w:val="18"/>
              </w:rPr>
              <w:t xml:space="preserve"> méthode</w:t>
            </w:r>
            <w:r w:rsidR="009266F8">
              <w:rPr>
                <w:rFonts w:ascii="Trebuchet MS" w:eastAsia="Trebuchet MS" w:hAnsi="Trebuchet MS" w:cs="Trebuchet MS"/>
                <w:b w:val="0"/>
                <w:sz w:val="18"/>
              </w:rPr>
              <w:t xml:space="preserve"> aborde suffisamment la mémorisation de connaissances  orthographiques et grammaticales, par des activités de dictée  notamment </w:t>
            </w:r>
            <w:r w:rsidR="009266F8">
              <w:rPr>
                <w:rFonts w:ascii="Verdana" w:eastAsia="Verdana" w:hAnsi="Verdana" w:cs="Verdana"/>
                <w:b w:val="0"/>
                <w:sz w:val="18"/>
              </w:rPr>
              <w:t xml:space="preserve">: </w:t>
            </w:r>
            <w:r w:rsidR="009266F8">
              <w:rPr>
                <w:rFonts w:ascii="Trebuchet MS" w:eastAsia="Trebuchet MS" w:hAnsi="Trebuchet MS" w:cs="Trebuchet MS"/>
                <w:b w:val="0"/>
                <w:i/>
                <w:sz w:val="18"/>
              </w:rPr>
              <w:t>lettres muettes mises en évidence, marques d’accord au sein  du GN, ou du S-V…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  <w:vAlign w:val="bottom"/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1B3EAF">
        <w:trPr>
          <w:trHeight w:val="969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 w:rsidP="00FC65EF">
            <w:pPr>
              <w:ind w:left="89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>En cours d’année, l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a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méthode propose des</w:t>
            </w:r>
            <w:r w:rsidR="001B3EAF">
              <w:rPr>
                <w:rFonts w:ascii="Trebuchet MS" w:eastAsia="Trebuchet MS" w:hAnsi="Trebuchet MS" w:cs="Trebuchet MS"/>
                <w:b w:val="0"/>
                <w:sz w:val="18"/>
              </w:rPr>
              <w:t xml:space="preserve"> textes variés de plus en plus</w:t>
            </w: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>complexes et abordant des genres diversifiés.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spacing w:after="160"/>
              <w:ind w:left="0"/>
              <w:jc w:val="left"/>
            </w:pPr>
          </w:p>
        </w:tc>
      </w:tr>
      <w:tr w:rsidR="009266F8" w:rsidTr="001B3EAF">
        <w:trPr>
          <w:trHeight w:val="954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 w:rsidP="00FC65EF">
            <w:pPr>
              <w:ind w:left="89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>L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a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méthode propose-t-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elle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des textes pour apprendre à comprendre ? 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FC65EF">
        <w:trPr>
          <w:trHeight w:val="1109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FC65EF" w:rsidRDefault="009266F8" w:rsidP="00FC65EF">
            <w:pPr>
              <w:ind w:left="89" w:right="599"/>
              <w:jc w:val="left"/>
              <w:rPr>
                <w:rFonts w:ascii="Trebuchet MS" w:eastAsia="Trebuchet MS" w:hAnsi="Trebuchet MS" w:cs="Trebuchet MS"/>
                <w:b w:val="0"/>
                <w:sz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>L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a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méthode propose-t-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elle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des situations de production écrites ?  </w:t>
            </w:r>
          </w:p>
          <w:p w:rsidR="009266F8" w:rsidRDefault="009266F8" w:rsidP="00FC65EF">
            <w:pPr>
              <w:ind w:left="89" w:right="599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Si oui, préciser s’il s’agit de mots, phrases et/ou textes.  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1B3EAF">
        <w:trPr>
          <w:trHeight w:val="967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 w:rsidP="00FC65EF">
            <w:pPr>
              <w:ind w:left="89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>L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a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méthode propose-t-</w:t>
            </w:r>
            <w:r w:rsidR="00FC65EF">
              <w:rPr>
                <w:rFonts w:ascii="Trebuchet MS" w:eastAsia="Trebuchet MS" w:hAnsi="Trebuchet MS" w:cs="Trebuchet MS"/>
                <w:b w:val="0"/>
                <w:sz w:val="18"/>
              </w:rPr>
              <w:t>elle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 des activités et des tâches spécifiques de l’apprentissage du lexique ?  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FC65EF">
        <w:trPr>
          <w:trHeight w:val="1393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spacing w:after="17"/>
              <w:ind w:left="89"/>
              <w:jc w:val="left"/>
            </w:pPr>
            <w:r>
              <w:rPr>
                <w:rFonts w:ascii="Trebuchet MS" w:eastAsia="Trebuchet MS" w:hAnsi="Trebuchet MS" w:cs="Trebuchet MS"/>
                <w:sz w:val="18"/>
                <w:u w:val="single" w:color="000000"/>
              </w:rPr>
              <w:t>Le</w:t>
            </w:r>
            <w:r w:rsidR="00FC65EF">
              <w:rPr>
                <w:rFonts w:ascii="Trebuchet MS" w:eastAsia="Trebuchet MS" w:hAnsi="Trebuchet MS" w:cs="Trebuchet MS"/>
                <w:sz w:val="18"/>
                <w:u w:val="single" w:color="000000"/>
              </w:rPr>
              <w:t>s supports d'exercices</w:t>
            </w:r>
            <w:r>
              <w:rPr>
                <w:rFonts w:ascii="Trebuchet MS" w:eastAsia="Trebuchet MS" w:hAnsi="Trebuchet MS" w:cs="Trebuchet MS"/>
                <w:sz w:val="18"/>
              </w:rPr>
              <w:t xml:space="preserve">: </w:t>
            </w:r>
          </w:p>
          <w:p w:rsidR="009266F8" w:rsidRDefault="009266F8">
            <w:pPr>
              <w:spacing w:after="23" w:line="249" w:lineRule="auto"/>
              <w:ind w:left="89"/>
              <w:jc w:val="left"/>
            </w:pPr>
            <w:r>
              <w:rPr>
                <w:rFonts w:ascii="Trebuchet MS" w:eastAsia="Trebuchet MS" w:hAnsi="Trebuchet MS" w:cs="Trebuchet MS"/>
                <w:sz w:val="18"/>
              </w:rPr>
              <w:t>-</w:t>
            </w: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Sur une même page de fichier, les tâches appartiennent-elles aux mêmes compétences de lecture ? </w:t>
            </w:r>
          </w:p>
          <w:p w:rsidR="009266F8" w:rsidRDefault="009266F8">
            <w:pPr>
              <w:numPr>
                <w:ilvl w:val="0"/>
                <w:numId w:val="1"/>
              </w:numPr>
              <w:spacing w:after="31" w:line="243" w:lineRule="auto"/>
              <w:ind w:right="30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Les tâches proposées tiennent-elles comptent de la progression de la séquence ? </w:t>
            </w:r>
          </w:p>
          <w:p w:rsidR="009266F8" w:rsidRDefault="009266F8">
            <w:pPr>
              <w:numPr>
                <w:ilvl w:val="0"/>
                <w:numId w:val="1"/>
              </w:numPr>
              <w:ind w:right="30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>les tâches proposées permettent-elles une activité soutenue des élèves en autonomie ?</w:t>
            </w:r>
            <w:r>
              <w:rPr>
                <w:rFonts w:ascii="Trebuchet MS" w:eastAsia="Trebuchet MS" w:hAnsi="Trebuchet MS" w:cs="Trebuchet MS"/>
                <w:sz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90B5C5"/>
              <w:right w:val="single" w:sz="4" w:space="0" w:color="0E869E"/>
            </w:tcBorders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  <w:tr w:rsidR="009266F8" w:rsidTr="00C372E8">
        <w:trPr>
          <w:trHeight w:val="839"/>
        </w:trPr>
        <w:tc>
          <w:tcPr>
            <w:tcW w:w="7513" w:type="dxa"/>
            <w:tcBorders>
              <w:top w:val="single" w:sz="4" w:space="0" w:color="90B5C5"/>
              <w:left w:val="single" w:sz="4" w:space="0" w:color="0E869E"/>
              <w:bottom w:val="single" w:sz="4" w:space="0" w:color="0E869E"/>
              <w:right w:val="single" w:sz="4" w:space="0" w:color="0E869E"/>
            </w:tcBorders>
          </w:tcPr>
          <w:p w:rsidR="009266F8" w:rsidRPr="00FC65EF" w:rsidRDefault="009266F8">
            <w:pPr>
              <w:spacing w:after="24"/>
              <w:ind w:left="89"/>
              <w:jc w:val="left"/>
              <w:rPr>
                <w:u w:val="single"/>
              </w:rPr>
            </w:pPr>
            <w:r w:rsidRPr="00FC65EF">
              <w:rPr>
                <w:rFonts w:ascii="Trebuchet MS" w:eastAsia="Trebuchet MS" w:hAnsi="Trebuchet MS" w:cs="Trebuchet MS"/>
                <w:sz w:val="18"/>
                <w:u w:val="single"/>
              </w:rPr>
              <w:t>Propose</w:t>
            </w:r>
            <w:r w:rsidR="00FC65EF" w:rsidRPr="00FC65EF">
              <w:rPr>
                <w:rFonts w:ascii="Trebuchet MS" w:eastAsia="Trebuchet MS" w:hAnsi="Trebuchet MS" w:cs="Trebuchet MS"/>
                <w:sz w:val="18"/>
                <w:u w:val="single"/>
              </w:rPr>
              <w:t>z-vous</w:t>
            </w:r>
            <w:r w:rsidRPr="00FC65EF">
              <w:rPr>
                <w:rFonts w:ascii="Trebuchet MS" w:eastAsia="Trebuchet MS" w:hAnsi="Trebuchet MS" w:cs="Trebuchet MS"/>
                <w:sz w:val="18"/>
                <w:u w:val="single"/>
              </w:rPr>
              <w:t xml:space="preserve"> : </w:t>
            </w:r>
          </w:p>
          <w:p w:rsidR="009266F8" w:rsidRDefault="009266F8">
            <w:pPr>
              <w:numPr>
                <w:ilvl w:val="0"/>
                <w:numId w:val="2"/>
              </w:numPr>
              <w:spacing w:after="21"/>
              <w:ind w:hanging="122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>des activités et tâches</w:t>
            </w:r>
            <w:r>
              <w:rPr>
                <w:rFonts w:ascii="Trebuchet MS" w:eastAsia="Trebuchet MS" w:hAnsi="Trebuchet MS" w:cs="Trebuchet MS"/>
                <w:sz w:val="18"/>
              </w:rPr>
              <w:t xml:space="preserve"> complémentaires ? </w:t>
            </w:r>
          </w:p>
          <w:p w:rsidR="009266F8" w:rsidRDefault="009266F8" w:rsidP="00C372E8">
            <w:pPr>
              <w:numPr>
                <w:ilvl w:val="0"/>
                <w:numId w:val="2"/>
              </w:numPr>
              <w:spacing w:after="20"/>
              <w:ind w:hanging="122"/>
              <w:jc w:val="left"/>
            </w:pPr>
            <w:r>
              <w:rPr>
                <w:rFonts w:ascii="Trebuchet MS" w:eastAsia="Trebuchet MS" w:hAnsi="Trebuchet MS" w:cs="Trebuchet MS"/>
                <w:b w:val="0"/>
                <w:sz w:val="18"/>
              </w:rPr>
              <w:t xml:space="preserve">des activités de différenciation et de remédiation ? </w:t>
            </w:r>
          </w:p>
        </w:tc>
        <w:tc>
          <w:tcPr>
            <w:tcW w:w="2835" w:type="dxa"/>
            <w:tcBorders>
              <w:top w:val="single" w:sz="4" w:space="0" w:color="90B5C5"/>
              <w:left w:val="single" w:sz="4" w:space="0" w:color="0E869E"/>
              <w:bottom w:val="single" w:sz="4" w:space="0" w:color="0E869E"/>
              <w:right w:val="single" w:sz="4" w:space="0" w:color="0E869E"/>
            </w:tcBorders>
          </w:tcPr>
          <w:p w:rsidR="009266F8" w:rsidRDefault="009266F8">
            <w:pPr>
              <w:ind w:left="0"/>
              <w:jc w:val="left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</w:t>
            </w:r>
          </w:p>
        </w:tc>
      </w:tr>
    </w:tbl>
    <w:p w:rsidR="00637E20" w:rsidRDefault="00637E20">
      <w:pPr>
        <w:ind w:left="0"/>
        <w:jc w:val="left"/>
      </w:pPr>
    </w:p>
    <w:sectPr w:rsidR="00637E20" w:rsidSect="00FC65EF">
      <w:pgSz w:w="11900" w:h="16840"/>
      <w:pgMar w:top="720" w:right="720" w:bottom="720" w:left="720" w:header="720" w:footer="720" w:gutter="0"/>
      <w:cols w:space="720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2DDF"/>
    <w:multiLevelType w:val="hybridMultilevel"/>
    <w:tmpl w:val="1CBCD2EA"/>
    <w:lvl w:ilvl="0" w:tplc="FBFC9A28">
      <w:start w:val="1"/>
      <w:numFmt w:val="bullet"/>
      <w:lvlText w:val="-"/>
      <w:lvlJc w:val="left"/>
      <w:pPr>
        <w:ind w:left="21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C6C8BE">
      <w:start w:val="1"/>
      <w:numFmt w:val="bullet"/>
      <w:lvlText w:val="o"/>
      <w:lvlJc w:val="left"/>
      <w:pPr>
        <w:ind w:left="118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3E9302">
      <w:start w:val="1"/>
      <w:numFmt w:val="bullet"/>
      <w:lvlText w:val="▪"/>
      <w:lvlJc w:val="left"/>
      <w:pPr>
        <w:ind w:left="190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767D84">
      <w:start w:val="1"/>
      <w:numFmt w:val="bullet"/>
      <w:lvlText w:val="•"/>
      <w:lvlJc w:val="left"/>
      <w:pPr>
        <w:ind w:left="262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54EC30">
      <w:start w:val="1"/>
      <w:numFmt w:val="bullet"/>
      <w:lvlText w:val="o"/>
      <w:lvlJc w:val="left"/>
      <w:pPr>
        <w:ind w:left="334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C2C598">
      <w:start w:val="1"/>
      <w:numFmt w:val="bullet"/>
      <w:lvlText w:val="▪"/>
      <w:lvlJc w:val="left"/>
      <w:pPr>
        <w:ind w:left="406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2D530">
      <w:start w:val="1"/>
      <w:numFmt w:val="bullet"/>
      <w:lvlText w:val="•"/>
      <w:lvlJc w:val="left"/>
      <w:pPr>
        <w:ind w:left="478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EA78B4">
      <w:start w:val="1"/>
      <w:numFmt w:val="bullet"/>
      <w:lvlText w:val="o"/>
      <w:lvlJc w:val="left"/>
      <w:pPr>
        <w:ind w:left="550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AA436C">
      <w:start w:val="1"/>
      <w:numFmt w:val="bullet"/>
      <w:lvlText w:val="▪"/>
      <w:lvlJc w:val="left"/>
      <w:pPr>
        <w:ind w:left="622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93371F"/>
    <w:multiLevelType w:val="hybridMultilevel"/>
    <w:tmpl w:val="98E066A2"/>
    <w:lvl w:ilvl="0" w:tplc="BD1A4664">
      <w:start w:val="1"/>
      <w:numFmt w:val="bullet"/>
      <w:lvlText w:val="-"/>
      <w:lvlJc w:val="left"/>
      <w:pPr>
        <w:ind w:left="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580C36">
      <w:start w:val="1"/>
      <w:numFmt w:val="bullet"/>
      <w:lvlText w:val="o"/>
      <w:lvlJc w:val="left"/>
      <w:pPr>
        <w:ind w:left="11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AA6998">
      <w:start w:val="1"/>
      <w:numFmt w:val="bullet"/>
      <w:lvlText w:val="▪"/>
      <w:lvlJc w:val="left"/>
      <w:pPr>
        <w:ind w:left="19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626C52">
      <w:start w:val="1"/>
      <w:numFmt w:val="bullet"/>
      <w:lvlText w:val="•"/>
      <w:lvlJc w:val="left"/>
      <w:pPr>
        <w:ind w:left="26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00BD62">
      <w:start w:val="1"/>
      <w:numFmt w:val="bullet"/>
      <w:lvlText w:val="o"/>
      <w:lvlJc w:val="left"/>
      <w:pPr>
        <w:ind w:left="33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52DA8A">
      <w:start w:val="1"/>
      <w:numFmt w:val="bullet"/>
      <w:lvlText w:val="▪"/>
      <w:lvlJc w:val="left"/>
      <w:pPr>
        <w:ind w:left="40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44B612">
      <w:start w:val="1"/>
      <w:numFmt w:val="bullet"/>
      <w:lvlText w:val="•"/>
      <w:lvlJc w:val="left"/>
      <w:pPr>
        <w:ind w:left="47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48DAF8">
      <w:start w:val="1"/>
      <w:numFmt w:val="bullet"/>
      <w:lvlText w:val="o"/>
      <w:lvlJc w:val="left"/>
      <w:pPr>
        <w:ind w:left="55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9EE0EA">
      <w:start w:val="1"/>
      <w:numFmt w:val="bullet"/>
      <w:lvlText w:val="▪"/>
      <w:lvlJc w:val="left"/>
      <w:pPr>
        <w:ind w:left="62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380301"/>
    <w:multiLevelType w:val="hybridMultilevel"/>
    <w:tmpl w:val="40EAD030"/>
    <w:lvl w:ilvl="0" w:tplc="3D0E9DAC">
      <w:numFmt w:val="bullet"/>
      <w:lvlText w:val=""/>
      <w:lvlJc w:val="left"/>
      <w:pPr>
        <w:ind w:left="1374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20"/>
    <w:rsid w:val="001B3EAF"/>
    <w:rsid w:val="003D6150"/>
    <w:rsid w:val="003E1EE8"/>
    <w:rsid w:val="00637E20"/>
    <w:rsid w:val="009266F8"/>
    <w:rsid w:val="00C372E8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1339C-9398-4A11-A262-F5BACD4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14"/>
      <w:jc w:val="center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3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analyse manuel</vt:lpstr>
    </vt:vector>
  </TitlesOfParts>
  <Company>EN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analyse manuel</dc:title>
  <dc:subject/>
  <dc:creator>chanse-balssa</dc:creator>
  <cp:keywords/>
  <cp:lastModifiedBy>mochi.philippe@gmail.com</cp:lastModifiedBy>
  <cp:revision>2</cp:revision>
  <dcterms:created xsi:type="dcterms:W3CDTF">2018-12-10T07:02:00Z</dcterms:created>
  <dcterms:modified xsi:type="dcterms:W3CDTF">2018-12-10T07:02:00Z</dcterms:modified>
</cp:coreProperties>
</file>